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data-centric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under-invested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Istanbul,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IKEA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LaSalle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Istanbul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Cincinnati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attainment.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empanadas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municipalities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offshore,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"scalable."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corridor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outmigration,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00:17:54]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landlord-tenant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toolkit.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Montgomery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landlord-tenant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landlord,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SparkLab?"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corridor,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anti-displacement.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ubiquitous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anti-displacement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absenteeism,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altruistic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"Never."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on-the-job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altruistic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and/or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 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Inglewood,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MSBI_S2_Ep05 (Completed  02/26/24)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26,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gMRmN2FzqSurqKqvA-Rk4894-aT2kRy0WYF7FNmrCVPtrmz2S3JXqzWhZsvqjs0ci-NJ0woPGwlqx2p2PTgHSl_Kck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